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1E6EA"/>
          <w:left w:val="single" w:sz="18" w:space="0" w:color="A1E6EA"/>
          <w:bottom w:val="single" w:sz="18" w:space="0" w:color="A1E6EA"/>
          <w:right w:val="single" w:sz="18" w:space="0" w:color="A1E6EA"/>
        </w:tblBorders>
        <w:tblLook w:val="001F"/>
      </w:tblPr>
      <w:tblGrid>
        <w:gridCol w:w="1198"/>
        <w:gridCol w:w="1089"/>
        <w:gridCol w:w="1089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CD0D9D" w:rsidRPr="00CD0D9D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13"/>
            <w:tcBorders>
              <w:top w:val="single" w:sz="18" w:space="0" w:color="A1E6EA"/>
              <w:bottom w:val="single" w:sz="8" w:space="0" w:color="A1E6EA"/>
            </w:tcBorders>
            <w:shd w:val="clear" w:color="auto" w:fill="auto"/>
          </w:tcPr>
          <w:p w:rsidR="00CD0D9D" w:rsidRPr="00E7097D" w:rsidRDefault="00E7097D" w:rsidP="00147589">
            <w:pPr>
              <w:rPr>
                <w:rFonts w:ascii="Chaparral Pro Light Ital" w:hAnsi="Chaparral Pro Light Ital"/>
                <w:color w:val="7F7F7F" w:themeColor="text1" w:themeTint="80"/>
              </w:rPr>
            </w:pPr>
            <w:r>
              <w:rPr>
                <w:rFonts w:ascii="Tangerine" w:hAnsi="Tangerine"/>
                <w:color w:val="7F7F7F" w:themeColor="text1" w:themeTint="80"/>
                <w:sz w:val="36"/>
              </w:rPr>
              <w:t xml:space="preserve">        </w:t>
            </w:r>
            <w:r w:rsidR="00CD0D9D" w:rsidRPr="00700F70">
              <w:rPr>
                <w:rFonts w:ascii="Tangerine" w:hAnsi="Tangerine"/>
                <w:color w:val="7F7F7F" w:themeColor="text1" w:themeTint="80"/>
                <w:sz w:val="32"/>
              </w:rPr>
              <w:t>Year/Form</w:t>
            </w:r>
            <w:r w:rsidR="00CD0D9D" w:rsidRPr="00700F70">
              <w:rPr>
                <w:rFonts w:ascii="Chaparral Pro Light Ital" w:hAnsi="Chaparral Pro Light Ital"/>
                <w:color w:val="7F7F7F" w:themeColor="text1" w:themeTint="80"/>
                <w:sz w:val="32"/>
              </w:rPr>
              <w:t xml:space="preserve"> </w:t>
            </w:r>
            <w:r w:rsidR="00147589" w:rsidRP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>. . . . . . . . . .</w:t>
            </w:r>
            <w:r w:rsid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 xml:space="preserve"> . . . . . . . .</w:t>
            </w:r>
            <w:r w:rsidR="00147589" w:rsidRP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 xml:space="preserve"> . . . . . . . . . .</w:t>
            </w:r>
            <w:r w:rsid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 xml:space="preserve"> . . . . . . </w:t>
            </w:r>
            <w:proofErr w:type="gramStart"/>
            <w:r w:rsid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>. .</w:t>
            </w:r>
            <w:proofErr w:type="gramEnd"/>
            <w:r w:rsidR="00CD0D9D" w:rsidRPr="00E7097D">
              <w:rPr>
                <w:rFonts w:ascii="Chaparral Pro Light Ital" w:hAnsi="Chaparral Pro Light Ital"/>
                <w:color w:val="7F7F7F" w:themeColor="text1" w:themeTint="80"/>
              </w:rPr>
              <w:t xml:space="preserve">                                                         </w:t>
            </w:r>
            <w:r w:rsidR="00147589">
              <w:rPr>
                <w:rFonts w:ascii="Chaparral Pro Light Ital" w:hAnsi="Chaparral Pro Light Ital"/>
                <w:color w:val="7F7F7F" w:themeColor="text1" w:themeTint="80"/>
              </w:rPr>
              <w:t xml:space="preserve">                              </w:t>
            </w:r>
            <w:r>
              <w:rPr>
                <w:rFonts w:ascii="Chaparral Pro Light Ital" w:hAnsi="Chaparral Pro Light Ital"/>
                <w:color w:val="7F7F7F" w:themeColor="text1" w:themeTint="80"/>
              </w:rPr>
              <w:t xml:space="preserve">                                       </w:t>
            </w:r>
            <w:r w:rsidR="00CD0D9D" w:rsidRPr="00E7097D">
              <w:rPr>
                <w:rFonts w:ascii="Chaparral Pro Light Ital" w:hAnsi="Chaparral Pro Light Ital"/>
                <w:color w:val="7F7F7F" w:themeColor="text1" w:themeTint="80"/>
              </w:rPr>
              <w:t xml:space="preserve">                           </w:t>
            </w:r>
            <w:r w:rsidR="00CD0D9D" w:rsidRPr="00700F70">
              <w:rPr>
                <w:rFonts w:ascii="Tangerine" w:hAnsi="Tangerine"/>
                <w:color w:val="7F7F7F" w:themeColor="text1" w:themeTint="80"/>
                <w:sz w:val="32"/>
              </w:rPr>
              <w:t>Term</w:t>
            </w:r>
            <w:r w:rsidR="00CD0D9D" w:rsidRPr="00E7097D">
              <w:rPr>
                <w:rFonts w:ascii="Chaparral Pro Light Ital" w:hAnsi="Chaparral Pro Light Ital"/>
                <w:color w:val="7F7F7F" w:themeColor="text1" w:themeTint="80"/>
              </w:rPr>
              <w:t xml:space="preserve"> </w:t>
            </w:r>
            <w:r w:rsidR="00147589" w:rsidRP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>. . . . . . . . . .</w:t>
            </w:r>
            <w:r w:rsid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 xml:space="preserve"> . . . . . . </w:t>
            </w:r>
            <w:proofErr w:type="gramStart"/>
            <w:r w:rsid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>. .</w:t>
            </w:r>
            <w:proofErr w:type="gramEnd"/>
            <w:r w:rsidR="00147589">
              <w:rPr>
                <w:rFonts w:ascii="Chaparral Pro Light Ital" w:hAnsi="Chaparral Pro Light Ital"/>
                <w:color w:val="7F7F7F" w:themeColor="text1" w:themeTint="80"/>
                <w:sz w:val="16"/>
              </w:rPr>
              <w:t xml:space="preserve"> </w:t>
            </w:r>
          </w:p>
        </w:tc>
      </w:tr>
      <w:tr w:rsidR="00CD0D9D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CD0D9D" w:rsidRPr="00CD0D9D" w:rsidRDefault="00CD0D9D" w:rsidP="00D53CED">
            <w:pPr>
              <w:spacing w:before="120" w:line="360" w:lineRule="auto"/>
              <w:jc w:val="center"/>
            </w:pPr>
            <w:r>
              <w:rPr>
                <w:rFonts w:ascii="Avenir Next Condensed Demi Bold" w:hAnsi="Avenir Next Condensed Demi Bold"/>
                <w:sz w:val="16"/>
                <w:szCs w:val="16"/>
              </w:rPr>
              <w:t>SUBJECT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E7097D" w:rsidRDefault="00E7097D" w:rsidP="00E7097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Pr="00CD0D9D" w:rsidRDefault="00CD0D9D" w:rsidP="00E7097D">
            <w:r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E7097D" w:rsidRDefault="00E7097D" w:rsidP="00E7097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 w:rsidP="00E7097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E7097D" w:rsidRDefault="00E7097D" w:rsidP="00E7097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E7097D" w:rsidP="00E7097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  <w:tc>
          <w:tcPr>
            <w:tcW w:w="1088" w:type="dxa"/>
            <w:tcBorders>
              <w:top w:val="single" w:sz="1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CD0D9D" w:rsidRDefault="00CD0D9D">
            <w:pPr>
              <w:rPr>
                <w:rFonts w:ascii="Avenir Next Condensed" w:hAnsi="Avenir Next Condensed"/>
                <w:sz w:val="16"/>
                <w:szCs w:val="16"/>
              </w:rPr>
            </w:pPr>
          </w:p>
          <w:p w:rsidR="00CD0D9D" w:rsidRDefault="00CD0D9D">
            <w:r w:rsidRPr="007C4045">
              <w:rPr>
                <w:rFonts w:ascii="Avenir Next Condensed" w:hAnsi="Avenir Next Condensed"/>
                <w:sz w:val="16"/>
                <w:szCs w:val="16"/>
              </w:rPr>
              <w:t>Week ___</w:t>
            </w:r>
          </w:p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 w:val="restart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Default="00147589" w:rsidP="00147589">
            <w:pPr>
              <w:ind w:left="-72"/>
              <w:rPr>
                <w:rFonts w:ascii="Avenir Next Condensed Regular" w:hAnsi="Avenir Next Condensed Regular"/>
                <w:b/>
                <w:sz w:val="16"/>
              </w:rPr>
            </w:pPr>
            <w:r w:rsidRPr="00147589">
              <w:rPr>
                <w:rFonts w:ascii="Avenir Next Condensed Regular" w:hAnsi="Avenir Next Condensed Regular"/>
                <w:b/>
                <w:sz w:val="16"/>
              </w:rPr>
              <w:t>Faith &amp; Religion</w:t>
            </w:r>
          </w:p>
          <w:p w:rsid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  <w:p w:rsidR="00AE2444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147589" w:rsidRPr="00AE2444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 w:val="restart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Default="00147589" w:rsidP="00147589">
            <w:pPr>
              <w:ind w:left="-72"/>
              <w:rPr>
                <w:rFonts w:ascii="Avenir Next Condensed Regular" w:hAnsi="Avenir Next Condensed Regular"/>
                <w:b/>
                <w:sz w:val="16"/>
              </w:rPr>
            </w:pPr>
            <w:r w:rsidRPr="00147589">
              <w:rPr>
                <w:rFonts w:ascii="Avenir Next Condensed Regular" w:hAnsi="Avenir Next Condensed Regular"/>
                <w:b/>
                <w:sz w:val="16"/>
              </w:rPr>
              <w:t>History &amp; Tales</w:t>
            </w:r>
          </w:p>
          <w:p w:rsid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  <w:p w:rsidR="00AE2444" w:rsidRPr="00AE2444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6"/>
              </w:rPr>
            </w:pPr>
          </w:p>
          <w:p w:rsidR="00147589" w:rsidRDefault="00AE2444" w:rsidP="00AE2444">
            <w:pPr>
              <w:ind w:left="-72"/>
              <w:jc w:val="right"/>
              <w:rPr>
                <w:rFonts w:ascii="Avenir Next Condensed Regular" w:hAnsi="Avenir Next Condensed Regular"/>
                <w:b/>
                <w:sz w:val="16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</w:rPr>
            </w:pP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  <w:p w:rsidR="00AE2444" w:rsidRPr="00AE2444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20"/>
              </w:rPr>
            </w:pPr>
          </w:p>
          <w:p w:rsidR="00AE2444" w:rsidRDefault="00AE2444" w:rsidP="00AE2444">
            <w:pPr>
              <w:ind w:left="-72"/>
              <w:jc w:val="right"/>
              <w:rPr>
                <w:rFonts w:ascii="Avenir Next Condensed Regular" w:hAnsi="Avenir Next Condensed Regular"/>
                <w:b/>
                <w:sz w:val="16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  <w:p w:rsidR="00147589" w:rsidRPr="00AE2444" w:rsidRDefault="00147589" w:rsidP="00AE2444">
            <w:pPr>
              <w:ind w:left="-72"/>
              <w:jc w:val="right"/>
              <w:rPr>
                <w:rFonts w:ascii="Avenir Next Condensed Regular" w:hAnsi="Avenir Next Condensed Regular"/>
                <w:b/>
                <w:sz w:val="8"/>
              </w:rPr>
            </w:pPr>
          </w:p>
          <w:p w:rsidR="00147589" w:rsidRPr="00147589" w:rsidRDefault="00147589" w:rsidP="00147589">
            <w:pPr>
              <w:ind w:left="-72"/>
              <w:jc w:val="right"/>
              <w:rPr>
                <w:rFonts w:ascii="Avenir Next Condensed Regular" w:hAnsi="Avenir Next Condensed Regular"/>
                <w:sz w:val="12"/>
              </w:rPr>
            </w:pPr>
            <w:r w:rsidRPr="00147589">
              <w:rPr>
                <w:rFonts w:ascii="Avenir Next Condensed Regular" w:hAnsi="Avenir Next Condensed Regular"/>
                <w:sz w:val="12"/>
              </w:rPr>
              <w:t>History Timeline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AE2444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Pr="00D73422" w:rsidRDefault="00AE2444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AE2444" w:rsidRDefault="00AE2444" w:rsidP="00AE2444">
            <w:pPr>
              <w:spacing w:before="80"/>
              <w:jc w:val="center"/>
            </w:pPr>
            <w:r w:rsidRPr="008C7AD6"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 w:val="restart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Default="00147589" w:rsidP="00AE2444">
            <w:pPr>
              <w:ind w:left="-72"/>
              <w:rPr>
                <w:rFonts w:ascii="Avenir Next Condensed Regular" w:hAnsi="Avenir Next Condensed Regular"/>
                <w:b/>
                <w:sz w:val="16"/>
              </w:rPr>
            </w:pPr>
            <w:r w:rsidRPr="00147589">
              <w:rPr>
                <w:rFonts w:ascii="Avenir Next Condensed Regular" w:hAnsi="Avenir Next Condensed Regular"/>
                <w:b/>
                <w:sz w:val="16"/>
              </w:rPr>
              <w:t>Natural History</w:t>
            </w:r>
          </w:p>
          <w:p w:rsid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  <w:p w:rsidR="00AE2444" w:rsidRPr="00AE2444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6"/>
              </w:rPr>
            </w:pPr>
          </w:p>
          <w:p w:rsidR="00AE2444" w:rsidRDefault="00AE2444" w:rsidP="00AE2444">
            <w:pPr>
              <w:ind w:left="-72"/>
              <w:jc w:val="right"/>
              <w:rPr>
                <w:rFonts w:ascii="Avenir Next Condensed Regular" w:hAnsi="Avenir Next Condensed Regular"/>
                <w:b/>
                <w:sz w:val="16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</w:rPr>
            </w:pPr>
          </w:p>
          <w:p w:rsidR="00147589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 w:val="restart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Default="00147589" w:rsidP="00AE2444">
            <w:pPr>
              <w:ind w:left="-72"/>
              <w:rPr>
                <w:rFonts w:ascii="Avenir Next Condensed Regular" w:hAnsi="Avenir Next Condensed Regular"/>
                <w:b/>
                <w:sz w:val="16"/>
              </w:rPr>
            </w:pPr>
            <w:r w:rsidRPr="00147589">
              <w:rPr>
                <w:rFonts w:ascii="Avenir Next Condensed Regular" w:hAnsi="Avenir Next Condensed Regular"/>
                <w:b/>
                <w:sz w:val="16"/>
              </w:rPr>
              <w:t>Literature</w:t>
            </w:r>
          </w:p>
          <w:p w:rsid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  <w:p w:rsidR="00AE2444" w:rsidRPr="00AE2444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6"/>
              </w:rPr>
            </w:pPr>
          </w:p>
          <w:p w:rsidR="00AE2444" w:rsidRDefault="00AE2444" w:rsidP="00AE2444">
            <w:pPr>
              <w:ind w:left="-72"/>
              <w:jc w:val="right"/>
              <w:rPr>
                <w:rFonts w:ascii="Avenir Next Condensed Regular" w:hAnsi="Avenir Next Condensed Regular"/>
                <w:b/>
                <w:sz w:val="16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</w:rPr>
            </w:pPr>
          </w:p>
          <w:p w:rsidR="00147589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147589" w:rsidRPr="00D73422" w:rsidRDefault="00147589">
            <w:pPr>
              <w:rPr>
                <w:rFonts w:ascii="Avenir Next Condensed Regular" w:hAnsi="Avenir Next Condensed Regular"/>
                <w:sz w:val="20"/>
              </w:rPr>
            </w:pP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Default="00AE2444">
            <w:pPr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AE2444" w:rsidRDefault="00AE2444">
            <w:pPr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147589" w:rsidRPr="00D73422" w:rsidRDefault="00AE2444">
            <w:pPr>
              <w:rPr>
                <w:rFonts w:ascii="Avenir Next Condensed Regular" w:hAnsi="Avenir Next Condensed Regular"/>
                <w:sz w:val="20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Default="00AE2444" w:rsidP="00AE2444">
            <w:pPr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AE2444" w:rsidRDefault="00AE2444" w:rsidP="00AE2444">
            <w:pPr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147589" w:rsidRPr="00D73422" w:rsidRDefault="00AE2444" w:rsidP="00AE2444">
            <w:pPr>
              <w:rPr>
                <w:rFonts w:ascii="Avenir Next Condensed Regular" w:hAnsi="Avenir Next Condensed Regular"/>
                <w:sz w:val="20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147589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Default="00AE2444" w:rsidP="00AE2444">
            <w:pPr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AE2444" w:rsidRDefault="00AE2444" w:rsidP="00AE2444">
            <w:pPr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</w:p>
          <w:p w:rsidR="00147589" w:rsidRPr="00D73422" w:rsidRDefault="00AE2444" w:rsidP="00AE2444">
            <w:pPr>
              <w:rPr>
                <w:rFonts w:ascii="Avenir Next Condensed Regular" w:hAnsi="Avenir Next Condensed Regular"/>
                <w:sz w:val="20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147589" w:rsidRDefault="00147589">
            <w:pPr>
              <w:rPr>
                <w:sz w:val="22"/>
              </w:rPr>
            </w:pPr>
          </w:p>
          <w:p w:rsidR="00147589" w:rsidRPr="00CD0D9D" w:rsidRDefault="00147589"/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8" w:space="0" w:color="A1E6EA"/>
            </w:tcBorders>
            <w:shd w:val="clear" w:color="auto" w:fill="auto"/>
          </w:tcPr>
          <w:p w:rsidR="00147589" w:rsidRPr="00CD0D9D" w:rsidRDefault="00147589"/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A1E6EA"/>
              <w:right w:val="single" w:sz="18" w:space="0" w:color="92E1E4"/>
            </w:tcBorders>
            <w:shd w:val="clear" w:color="auto" w:fill="auto"/>
          </w:tcPr>
          <w:p w:rsidR="00147589" w:rsidRPr="00CD0D9D" w:rsidRDefault="00147589"/>
        </w:tc>
      </w:tr>
      <w:tr w:rsidR="00AE2444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18" w:space="0" w:color="A1E6EA"/>
              <w:left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Default="00AE2444" w:rsidP="00147589">
            <w:pPr>
              <w:ind w:left="-72"/>
              <w:rPr>
                <w:rFonts w:ascii="Avenir Next Condensed Regular" w:hAnsi="Avenir Next Condensed Regular"/>
                <w:b/>
                <w:sz w:val="16"/>
              </w:rPr>
            </w:pPr>
            <w:r w:rsidRPr="00D73422">
              <w:rPr>
                <w:rFonts w:ascii="Avenir Next Condensed Regular" w:hAnsi="Avenir Next Condensed Regular"/>
                <w:b/>
                <w:sz w:val="16"/>
              </w:rPr>
              <w:t>Language Arts</w:t>
            </w:r>
          </w:p>
          <w:p w:rsid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sz w:val="12"/>
              </w:rPr>
            </w:pPr>
            <w:proofErr w:type="spellStart"/>
            <w:r>
              <w:rPr>
                <w:rFonts w:ascii="Avenir Next Condensed Regular" w:hAnsi="Avenir Next Condensed Regular"/>
                <w:sz w:val="12"/>
              </w:rPr>
              <w:t>Copywork</w:t>
            </w:r>
            <w:proofErr w:type="spellEnd"/>
          </w:p>
          <w:p w:rsidR="00AE2444" w:rsidRPr="00AE2444" w:rsidRDefault="00AE2444" w:rsidP="00AE2444">
            <w:pPr>
              <w:spacing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 </w:t>
            </w:r>
          </w:p>
          <w:p w:rsidR="00AE2444" w:rsidRPr="00AE2444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</w:pPr>
            <w:proofErr w:type="gramStart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>. .</w:t>
            </w:r>
            <w:proofErr w:type="gramEnd"/>
            <w:r w:rsidRPr="00AE2444">
              <w:rPr>
                <w:rFonts w:ascii="Avenir Next Condensed Regular" w:hAnsi="Avenir Next Condensed Regular"/>
                <w:color w:val="808080" w:themeColor="background1" w:themeShade="80"/>
                <w:sz w:val="12"/>
              </w:rPr>
              <w:t xml:space="preserve"> . . . . . . . . . . . . . . . . . .</w:t>
            </w:r>
          </w:p>
          <w:p w:rsidR="00AE2444" w:rsidRPr="00147589" w:rsidRDefault="00AE2444" w:rsidP="00AE2444">
            <w:pPr>
              <w:spacing w:before="60" w:after="40"/>
              <w:ind w:left="-72"/>
              <w:jc w:val="right"/>
              <w:rPr>
                <w:rFonts w:ascii="Avenir Next Condensed Regular" w:hAnsi="Avenir Next Condensed Regular"/>
                <w:sz w:val="12"/>
              </w:rPr>
            </w:pPr>
            <w:r>
              <w:rPr>
                <w:rFonts w:ascii="Avenir Next Condensed Regular" w:hAnsi="Avenir Next Condensed Regular"/>
                <w:sz w:val="12"/>
              </w:rPr>
              <w:t>Narrations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18" w:space="0" w:color="92E1E4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9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8" w:space="0" w:color="A1E6EA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  <w:tc>
          <w:tcPr>
            <w:tcW w:w="1088" w:type="dxa"/>
            <w:tcBorders>
              <w:top w:val="single" w:sz="8" w:space="0" w:color="A1E6EA"/>
              <w:left w:val="single" w:sz="8" w:space="0" w:color="A1E6EA"/>
              <w:bottom w:val="single" w:sz="8" w:space="0" w:color="92E1E4"/>
              <w:right w:val="single" w:sz="18" w:space="0" w:color="92E1E4"/>
            </w:tcBorders>
            <w:shd w:val="clear" w:color="auto" w:fill="auto"/>
          </w:tcPr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20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2"/>
                <w:szCs w:val="12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/>
              <w:jc w:val="center"/>
              <w:rPr>
                <w:rFonts w:ascii="Avenir Next" w:eastAsia="Avenir Next" w:hAnsi="Avenir Next" w:cs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Default="00AE2444" w:rsidP="00AE2444">
            <w:pPr>
              <w:pStyle w:val="TableStyle2"/>
              <w:widowControl w:val="0"/>
              <w:tabs>
                <w:tab w:val="left" w:pos="709"/>
              </w:tabs>
              <w:suppressAutoHyphens/>
              <w:spacing w:before="40" w:line="312" w:lineRule="auto"/>
              <w:jc w:val="center"/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  <w:p w:rsidR="00AE2444" w:rsidRPr="00CD0D9D" w:rsidRDefault="00AE2444" w:rsidP="00AE2444">
            <w:pPr>
              <w:jc w:val="center"/>
            </w:pPr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</w:p>
        </w:tc>
      </w:tr>
      <w:tr w:rsidR="00AE2444" w:rsidRPr="00CD0D9D" w:rsidTr="00700F7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18" w:space="0" w:color="A1E6EA"/>
              <w:bottom w:val="single" w:sz="18" w:space="0" w:color="A1E6EA"/>
              <w:right w:val="single" w:sz="18" w:space="0" w:color="92E1E4"/>
            </w:tcBorders>
            <w:shd w:val="clear" w:color="auto" w:fill="auto"/>
          </w:tcPr>
          <w:p w:rsidR="00AE2444" w:rsidRPr="00D73422" w:rsidRDefault="00AE2444" w:rsidP="00147589">
            <w:pPr>
              <w:spacing w:before="120"/>
              <w:ind w:left="-72"/>
              <w:rPr>
                <w:rFonts w:ascii="Avenir Next Condensed Regular" w:hAnsi="Avenir Next Condensed Regular"/>
                <w:b/>
                <w:sz w:val="16"/>
              </w:rPr>
            </w:pPr>
            <w:r w:rsidRPr="00D73422">
              <w:rPr>
                <w:rFonts w:ascii="Avenir Next Condensed Regular" w:hAnsi="Avenir Next Condensed Regular"/>
                <w:b/>
                <w:sz w:val="16"/>
              </w:rPr>
              <w:t>Math</w:t>
            </w:r>
          </w:p>
        </w:tc>
        <w:tc>
          <w:tcPr>
            <w:tcW w:w="1089" w:type="dxa"/>
            <w:tcBorders>
              <w:top w:val="single" w:sz="8" w:space="0" w:color="92E1E4"/>
              <w:left w:val="single" w:sz="1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9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  <w:tc>
          <w:tcPr>
            <w:tcW w:w="1088" w:type="dxa"/>
            <w:tcBorders>
              <w:top w:val="single" w:sz="8" w:space="0" w:color="92E1E4"/>
              <w:left w:val="single" w:sz="8" w:space="0" w:color="92E1E4"/>
              <w:bottom w:val="single" w:sz="18" w:space="0" w:color="92E1E4"/>
              <w:right w:val="single" w:sz="18" w:space="0" w:color="92E1E4"/>
            </w:tcBorders>
            <w:shd w:val="clear" w:color="auto" w:fill="auto"/>
          </w:tcPr>
          <w:p w:rsidR="00AE2444" w:rsidRPr="00CD0D9D" w:rsidRDefault="00AE2444" w:rsidP="00AE2444">
            <w:pPr>
              <w:spacing w:before="80"/>
            </w:pPr>
            <w:proofErr w:type="gram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O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proofErr w:type="gram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2"/>
                <w:szCs w:val="12"/>
                <w:u w:color="000000"/>
                <w:lang w:val="de-DE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 xml:space="preserve">  </w:t>
            </w:r>
            <w:proofErr w:type="spellStart"/>
            <w:r>
              <w:rPr>
                <w:rFonts w:ascii="Avenir Next" w:hAnsi="Avenir Next"/>
                <w:color w:val="63B2DE"/>
                <w:kern w:val="1"/>
                <w:sz w:val="14"/>
                <w:szCs w:val="14"/>
                <w:u w:color="000000"/>
              </w:rPr>
              <w:t>O</w:t>
            </w:r>
            <w:proofErr w:type="spellEnd"/>
          </w:p>
        </w:tc>
      </w:tr>
    </w:tbl>
    <w:p w:rsidR="00CD0D9D" w:rsidRDefault="00CD0D9D"/>
    <w:sectPr w:rsidR="00CD0D9D" w:rsidSect="00700F70">
      <w:pgSz w:w="15840" w:h="12240" w:orient="landscape"/>
      <w:pgMar w:top="432" w:right="1080" w:bottom="432" w:left="720" w:footer="28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parral Pro Light Ital">
    <w:panose1 w:val="02060403030505090203"/>
    <w:charset w:val="00"/>
    <w:family w:val="auto"/>
    <w:pitch w:val="variable"/>
    <w:sig w:usb0="00000003" w:usb1="00000000" w:usb2="00000000" w:usb3="00000000" w:csb0="00000001" w:csb1="00000000"/>
  </w:font>
  <w:font w:name="Tangerin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Demi Bold">
    <w:panose1 w:val="020B0706020202020204"/>
    <w:charset w:val="00"/>
    <w:family w:val="auto"/>
    <w:pitch w:val="variable"/>
    <w:sig w:usb0="00000003" w:usb1="00000000" w:usb2="00000000" w:usb3="00000000" w:csb0="00000001" w:csb1="00000000"/>
  </w:font>
  <w:font w:name="Avenir Next Condensed">
    <w:altName w:val="Avenir Next Condensed Regular"/>
    <w:charset w:val="00"/>
    <w:family w:val="roman"/>
    <w:pitch w:val="default"/>
    <w:sig w:usb0="00000000" w:usb1="00000000" w:usb2="00000000" w:usb3="00000000" w:csb0="00000000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D9D"/>
    <w:rsid w:val="00147589"/>
    <w:rsid w:val="00700F70"/>
    <w:rsid w:val="00814D51"/>
    <w:rsid w:val="008472BA"/>
    <w:rsid w:val="00AE2444"/>
    <w:rsid w:val="00CD0D9D"/>
    <w:rsid w:val="00D53CED"/>
    <w:rsid w:val="00D73422"/>
    <w:rsid w:val="00E7097D"/>
  </w:rsids>
  <m:mathPr>
    <m:mathFont m:val="Wellingt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Style2">
    <w:name w:val="Table Style 2"/>
    <w:rsid w:val="00AE24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Mackintosh</dc:creator>
  <cp:keywords/>
  <cp:lastModifiedBy>Jen Mackintosh</cp:lastModifiedBy>
  <cp:revision>3</cp:revision>
  <cp:lastPrinted>2016-05-21T02:30:00Z</cp:lastPrinted>
  <dcterms:created xsi:type="dcterms:W3CDTF">2016-05-21T02:30:00Z</dcterms:created>
  <dcterms:modified xsi:type="dcterms:W3CDTF">2016-05-21T02:41:00Z</dcterms:modified>
</cp:coreProperties>
</file>